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A7FE" w14:textId="5FE18BEC" w:rsidR="008278C1" w:rsidRPr="008278C1" w:rsidRDefault="008278C1" w:rsidP="00453FFF">
      <w:pPr>
        <w:rPr>
          <w:rFonts w:cstheme="minorHAnsi"/>
          <w:b/>
          <w:sz w:val="32"/>
          <w:szCs w:val="32"/>
        </w:rPr>
      </w:pPr>
      <w:r w:rsidRPr="008278C1">
        <w:rPr>
          <w:rFonts w:cstheme="minorHAnsi"/>
          <w:b/>
          <w:sz w:val="32"/>
          <w:szCs w:val="32"/>
        </w:rPr>
        <w:t xml:space="preserve">Five Tips to Avoiding </w:t>
      </w:r>
      <w:r w:rsidR="00FF45C6">
        <w:rPr>
          <w:rFonts w:cstheme="minorHAnsi"/>
          <w:b/>
          <w:sz w:val="32"/>
          <w:szCs w:val="32"/>
        </w:rPr>
        <w:t xml:space="preserve">Delays in your </w:t>
      </w:r>
      <w:r w:rsidRPr="008278C1">
        <w:rPr>
          <w:rFonts w:cstheme="minorHAnsi"/>
          <w:b/>
          <w:sz w:val="32"/>
          <w:szCs w:val="32"/>
        </w:rPr>
        <w:t>SBA</w:t>
      </w:r>
      <w:r w:rsidR="00FF45C6">
        <w:rPr>
          <w:rFonts w:cstheme="minorHAnsi"/>
          <w:b/>
          <w:sz w:val="32"/>
          <w:szCs w:val="32"/>
        </w:rPr>
        <w:t xml:space="preserve"> Loans</w:t>
      </w:r>
      <w:r w:rsidRPr="008278C1">
        <w:rPr>
          <w:rFonts w:cstheme="minorHAnsi"/>
          <w:b/>
          <w:sz w:val="32"/>
          <w:szCs w:val="32"/>
        </w:rPr>
        <w:t xml:space="preserve"> </w:t>
      </w:r>
    </w:p>
    <w:p w14:paraId="066D545F" w14:textId="0565E8D3" w:rsidR="008278C1" w:rsidRDefault="008278C1" w:rsidP="00453FFF">
      <w:pPr>
        <w:rPr>
          <w:rFonts w:cstheme="minorHAnsi"/>
          <w:bCs/>
          <w:sz w:val="24"/>
          <w:szCs w:val="24"/>
        </w:rPr>
      </w:pPr>
      <w:r>
        <w:rPr>
          <w:rFonts w:cstheme="minorHAnsi"/>
          <w:bCs/>
          <w:sz w:val="24"/>
          <w:szCs w:val="24"/>
        </w:rPr>
        <w:t>by Stephen Reynolds</w:t>
      </w:r>
    </w:p>
    <w:p w14:paraId="62929F9B" w14:textId="77777777" w:rsidR="008278C1" w:rsidRDefault="008278C1" w:rsidP="00453FFF">
      <w:pPr>
        <w:rPr>
          <w:rFonts w:cstheme="minorHAnsi"/>
          <w:bCs/>
          <w:sz w:val="24"/>
          <w:szCs w:val="24"/>
        </w:rPr>
      </w:pPr>
    </w:p>
    <w:p w14:paraId="7BB3E797" w14:textId="13EC459A" w:rsidR="00AE2E5B" w:rsidRDefault="00AE2E5B" w:rsidP="00453FFF">
      <w:pPr>
        <w:rPr>
          <w:rFonts w:cstheme="minorHAnsi"/>
          <w:bCs/>
          <w:sz w:val="24"/>
          <w:szCs w:val="24"/>
        </w:rPr>
      </w:pPr>
      <w:r>
        <w:rPr>
          <w:rFonts w:cstheme="minorHAnsi"/>
          <w:bCs/>
          <w:sz w:val="24"/>
          <w:szCs w:val="24"/>
        </w:rPr>
        <w:t>Keeping your SBA deals moving is important to both you and your customers. The last thing you need is for your environmental due diligence to get kicked back because you didn’t “dot that “</w:t>
      </w:r>
      <w:proofErr w:type="spellStart"/>
      <w:r w:rsidR="005C4A2E">
        <w:rPr>
          <w:rFonts w:cstheme="minorHAnsi"/>
          <w:bCs/>
          <w:sz w:val="24"/>
          <w:szCs w:val="24"/>
        </w:rPr>
        <w:t>i</w:t>
      </w:r>
      <w:proofErr w:type="spellEnd"/>
      <w:r>
        <w:rPr>
          <w:rFonts w:cstheme="minorHAnsi"/>
          <w:bCs/>
          <w:sz w:val="24"/>
          <w:szCs w:val="24"/>
        </w:rPr>
        <w:t>” or cross that T.” In all seriousness, it is a bit more complicated than that, and loans do get delayed when a detail gets overlooked</w:t>
      </w:r>
      <w:r w:rsidR="00FF45C6">
        <w:rPr>
          <w:rFonts w:cstheme="minorHAnsi"/>
          <w:bCs/>
          <w:sz w:val="24"/>
          <w:szCs w:val="24"/>
        </w:rPr>
        <w:t>. A</w:t>
      </w:r>
      <w:r w:rsidR="008278C1">
        <w:rPr>
          <w:rFonts w:cstheme="minorHAnsi"/>
          <w:bCs/>
          <w:sz w:val="24"/>
          <w:szCs w:val="24"/>
        </w:rPr>
        <w:t xml:space="preserve">nd </w:t>
      </w:r>
      <w:r w:rsidR="00300939">
        <w:rPr>
          <w:rFonts w:cstheme="minorHAnsi"/>
          <w:bCs/>
          <w:sz w:val="24"/>
          <w:szCs w:val="24"/>
        </w:rPr>
        <w:t xml:space="preserve">we all know </w:t>
      </w:r>
      <w:r w:rsidR="008278C1">
        <w:rPr>
          <w:rFonts w:cstheme="minorHAnsi"/>
          <w:bCs/>
          <w:sz w:val="24"/>
          <w:szCs w:val="24"/>
        </w:rPr>
        <w:t>there are plenty of detail</w:t>
      </w:r>
      <w:r w:rsidR="00300939">
        <w:rPr>
          <w:rFonts w:cstheme="minorHAnsi"/>
          <w:bCs/>
          <w:sz w:val="24"/>
          <w:szCs w:val="24"/>
        </w:rPr>
        <w:t>s</w:t>
      </w:r>
      <w:r w:rsidR="008278C1">
        <w:rPr>
          <w:rFonts w:cstheme="minorHAnsi"/>
          <w:bCs/>
          <w:sz w:val="24"/>
          <w:szCs w:val="24"/>
        </w:rPr>
        <w:t xml:space="preserve"> to underwriting an SBA loan. </w:t>
      </w:r>
      <w:r>
        <w:rPr>
          <w:rFonts w:cstheme="minorHAnsi"/>
          <w:bCs/>
          <w:sz w:val="24"/>
          <w:szCs w:val="24"/>
        </w:rPr>
        <w:t xml:space="preserve">    </w:t>
      </w:r>
    </w:p>
    <w:p w14:paraId="0A253F0C" w14:textId="444B20A3" w:rsidR="00AE2E5B" w:rsidRDefault="00AE2E5B" w:rsidP="00453FFF">
      <w:pPr>
        <w:rPr>
          <w:rFonts w:cstheme="minorHAnsi"/>
          <w:bCs/>
          <w:sz w:val="24"/>
          <w:szCs w:val="24"/>
        </w:rPr>
      </w:pPr>
    </w:p>
    <w:p w14:paraId="47AC51C8" w14:textId="66EE138C" w:rsidR="00453FFF" w:rsidRPr="00453FFF" w:rsidRDefault="008278C1" w:rsidP="008278C1">
      <w:pPr>
        <w:rPr>
          <w:rFonts w:cstheme="minorHAnsi"/>
          <w:bCs/>
          <w:sz w:val="24"/>
          <w:szCs w:val="24"/>
        </w:rPr>
      </w:pPr>
      <w:r>
        <w:rPr>
          <w:rFonts w:cstheme="minorHAnsi"/>
          <w:bCs/>
          <w:sz w:val="24"/>
          <w:szCs w:val="24"/>
        </w:rPr>
        <w:t>We’ve put together a few tips to help you avoid screen out and delays and keep your SBA originati</w:t>
      </w:r>
      <w:r w:rsidR="00300939">
        <w:rPr>
          <w:rFonts w:cstheme="minorHAnsi"/>
          <w:bCs/>
          <w:sz w:val="24"/>
          <w:szCs w:val="24"/>
        </w:rPr>
        <w:t>o</w:t>
      </w:r>
      <w:r>
        <w:rPr>
          <w:rFonts w:cstheme="minorHAnsi"/>
          <w:bCs/>
          <w:sz w:val="24"/>
          <w:szCs w:val="24"/>
        </w:rPr>
        <w:t>n</w:t>
      </w:r>
      <w:r w:rsidR="00300939">
        <w:rPr>
          <w:rFonts w:cstheme="minorHAnsi"/>
          <w:bCs/>
          <w:sz w:val="24"/>
          <w:szCs w:val="24"/>
        </w:rPr>
        <w:t>s</w:t>
      </w:r>
      <w:r>
        <w:rPr>
          <w:rFonts w:cstheme="minorHAnsi"/>
          <w:bCs/>
          <w:sz w:val="24"/>
          <w:szCs w:val="24"/>
        </w:rPr>
        <w:t xml:space="preserve"> and underwriting moving</w:t>
      </w:r>
      <w:r w:rsidR="00300939">
        <w:rPr>
          <w:rFonts w:cstheme="minorHAnsi"/>
          <w:bCs/>
          <w:sz w:val="24"/>
          <w:szCs w:val="24"/>
        </w:rPr>
        <w:t xml:space="preserve"> along. </w:t>
      </w:r>
      <w:r>
        <w:rPr>
          <w:rFonts w:cstheme="minorHAnsi"/>
          <w:bCs/>
          <w:sz w:val="24"/>
          <w:szCs w:val="24"/>
        </w:rPr>
        <w:t xml:space="preserve">  </w:t>
      </w:r>
    </w:p>
    <w:p w14:paraId="1A3945C7" w14:textId="77777777" w:rsidR="00B928D1" w:rsidRPr="00B928D1" w:rsidRDefault="00B928D1" w:rsidP="00B928D1">
      <w:pPr>
        <w:rPr>
          <w:rFonts w:cstheme="minorHAnsi"/>
          <w:bCs/>
          <w:sz w:val="24"/>
          <w:szCs w:val="24"/>
        </w:rPr>
      </w:pPr>
    </w:p>
    <w:p w14:paraId="07538E11" w14:textId="786EA1E4" w:rsidR="00453FFF" w:rsidRPr="00453FFF" w:rsidRDefault="008278C1" w:rsidP="00453FFF">
      <w:pPr>
        <w:pStyle w:val="Default"/>
        <w:numPr>
          <w:ilvl w:val="0"/>
          <w:numId w:val="2"/>
        </w:numPr>
        <w:rPr>
          <w:rFonts w:asciiTheme="minorHAnsi" w:hAnsiTheme="minorHAnsi" w:cstheme="minorHAnsi"/>
        </w:rPr>
      </w:pPr>
      <w:r>
        <w:rPr>
          <w:rFonts w:asciiTheme="minorHAnsi" w:hAnsiTheme="minorHAnsi" w:cstheme="minorHAnsi"/>
        </w:rPr>
        <w:t>Always s</w:t>
      </w:r>
      <w:r w:rsidR="00453FFF" w:rsidRPr="00453FFF">
        <w:rPr>
          <w:rFonts w:asciiTheme="minorHAnsi" w:hAnsiTheme="minorHAnsi" w:cstheme="minorHAnsi"/>
        </w:rPr>
        <w:t xml:space="preserve">tate the past and current use of the property </w:t>
      </w:r>
      <w:r w:rsidR="00453FFF" w:rsidRPr="00453FFF">
        <w:rPr>
          <w:rFonts w:asciiTheme="minorHAnsi" w:hAnsiTheme="minorHAnsi" w:cstheme="minorHAnsi"/>
          <w:i/>
          <w:color w:val="FF0000"/>
          <w:u w:val="single"/>
        </w:rPr>
        <w:t>and the adjoining properties</w:t>
      </w:r>
      <w:r w:rsidR="00453FFF" w:rsidRPr="00453FFF">
        <w:rPr>
          <w:rFonts w:asciiTheme="minorHAnsi" w:hAnsiTheme="minorHAnsi" w:cstheme="minorHAnsi"/>
        </w:rPr>
        <w:t xml:space="preserve"> in </w:t>
      </w:r>
      <w:r w:rsidR="003D3333">
        <w:rPr>
          <w:rFonts w:asciiTheme="minorHAnsi" w:hAnsiTheme="minorHAnsi" w:cstheme="minorHAnsi"/>
        </w:rPr>
        <w:t>the</w:t>
      </w:r>
    </w:p>
    <w:p w14:paraId="2B7DE311" w14:textId="75C31902" w:rsidR="00453FFF" w:rsidRPr="00453FFF" w:rsidRDefault="00453FFF" w:rsidP="00453FFF">
      <w:pPr>
        <w:pStyle w:val="Default"/>
        <w:ind w:left="720"/>
        <w:rPr>
          <w:rFonts w:asciiTheme="minorHAnsi" w:hAnsiTheme="minorHAnsi" w:cstheme="minorHAnsi"/>
        </w:rPr>
      </w:pPr>
      <w:r w:rsidRPr="00453FFF">
        <w:rPr>
          <w:rFonts w:asciiTheme="minorHAnsi" w:hAnsiTheme="minorHAnsi" w:cstheme="minorHAnsi"/>
        </w:rPr>
        <w:t xml:space="preserve">Environmental Questionnaire (EQ). </w:t>
      </w:r>
    </w:p>
    <w:p w14:paraId="177CC231" w14:textId="77777777" w:rsidR="00453FFF" w:rsidRPr="00453FFF" w:rsidRDefault="00453FFF" w:rsidP="00453FFF">
      <w:pPr>
        <w:pStyle w:val="Default"/>
        <w:rPr>
          <w:rFonts w:asciiTheme="minorHAnsi" w:hAnsiTheme="minorHAnsi" w:cstheme="minorHAnsi"/>
        </w:rPr>
      </w:pPr>
    </w:p>
    <w:p w14:paraId="2832A26D" w14:textId="4409E6A8" w:rsidR="00453FFF" w:rsidRPr="00453FFF" w:rsidRDefault="00453FFF" w:rsidP="00453FFF">
      <w:pPr>
        <w:pStyle w:val="Default"/>
        <w:numPr>
          <w:ilvl w:val="0"/>
          <w:numId w:val="2"/>
        </w:numPr>
        <w:rPr>
          <w:rFonts w:asciiTheme="minorHAnsi" w:hAnsiTheme="minorHAnsi" w:cstheme="minorHAnsi"/>
        </w:rPr>
      </w:pPr>
      <w:r w:rsidRPr="00453FFF">
        <w:rPr>
          <w:rFonts w:asciiTheme="minorHAnsi" w:hAnsiTheme="minorHAnsi" w:cstheme="minorHAnsi"/>
        </w:rPr>
        <w:t xml:space="preserve">The EQ must be signed by the owner or operator of the site </w:t>
      </w:r>
      <w:r w:rsidRPr="00453FFF">
        <w:rPr>
          <w:rFonts w:asciiTheme="minorHAnsi" w:hAnsiTheme="minorHAnsi" w:cstheme="minorHAnsi"/>
          <w:i/>
          <w:color w:val="FF0000"/>
          <w:u w:val="single"/>
        </w:rPr>
        <w:t>and</w:t>
      </w:r>
      <w:r w:rsidRPr="00453FFF">
        <w:rPr>
          <w:rFonts w:asciiTheme="minorHAnsi" w:hAnsiTheme="minorHAnsi" w:cstheme="minorHAnsi"/>
        </w:rPr>
        <w:t xml:space="preserve"> the CDC/Lender. </w:t>
      </w:r>
    </w:p>
    <w:p w14:paraId="398DF428" w14:textId="77777777" w:rsidR="00453FFF" w:rsidRPr="00453FFF" w:rsidRDefault="00453FFF" w:rsidP="00453FFF">
      <w:pPr>
        <w:pStyle w:val="Default"/>
        <w:rPr>
          <w:rFonts w:asciiTheme="minorHAnsi" w:hAnsiTheme="minorHAnsi" w:cstheme="minorHAnsi"/>
        </w:rPr>
      </w:pPr>
    </w:p>
    <w:p w14:paraId="15DC8417" w14:textId="709B8A82" w:rsidR="00453FFF" w:rsidRPr="00453FFF" w:rsidRDefault="00453FFF" w:rsidP="00453FFF">
      <w:pPr>
        <w:pStyle w:val="Default"/>
        <w:numPr>
          <w:ilvl w:val="0"/>
          <w:numId w:val="2"/>
        </w:numPr>
        <w:rPr>
          <w:rFonts w:asciiTheme="minorHAnsi" w:hAnsiTheme="minorHAnsi" w:cstheme="minorHAnsi"/>
        </w:rPr>
      </w:pPr>
      <w:r w:rsidRPr="00453FFF">
        <w:rPr>
          <w:rFonts w:asciiTheme="minorHAnsi" w:hAnsiTheme="minorHAnsi" w:cstheme="minorHAnsi"/>
        </w:rPr>
        <w:t xml:space="preserve">If the owner is unable or unwilling to sign the EQ and the property </w:t>
      </w:r>
      <w:r w:rsidRPr="00453FFF">
        <w:rPr>
          <w:rFonts w:asciiTheme="minorHAnsi" w:hAnsiTheme="minorHAnsi" w:cstheme="minorHAnsi"/>
          <w:i/>
          <w:iCs/>
          <w:color w:val="FF0000"/>
          <w:u w:val="single"/>
        </w:rPr>
        <w:t xml:space="preserve">is not </w:t>
      </w:r>
      <w:r w:rsidRPr="00453FFF">
        <w:rPr>
          <w:rFonts w:asciiTheme="minorHAnsi" w:hAnsiTheme="minorHAnsi" w:cstheme="minorHAnsi"/>
        </w:rPr>
        <w:t>in an</w:t>
      </w:r>
    </w:p>
    <w:p w14:paraId="4BF9F134" w14:textId="2C5F4E5A" w:rsidR="00453FFF" w:rsidRDefault="00453FFF" w:rsidP="00676020">
      <w:pPr>
        <w:pStyle w:val="Default"/>
        <w:ind w:left="720"/>
        <w:rPr>
          <w:rFonts w:asciiTheme="minorHAnsi" w:hAnsiTheme="minorHAnsi" w:cstheme="minorHAnsi"/>
        </w:rPr>
      </w:pPr>
      <w:r w:rsidRPr="00453FFF">
        <w:rPr>
          <w:rFonts w:asciiTheme="minorHAnsi" w:hAnsiTheme="minorHAnsi" w:cstheme="minorHAnsi"/>
        </w:rPr>
        <w:t>environmentally sensitive industry</w:t>
      </w:r>
      <w:r w:rsidR="00676020">
        <w:rPr>
          <w:rFonts w:asciiTheme="minorHAnsi" w:hAnsiTheme="minorHAnsi" w:cstheme="minorHAnsi"/>
        </w:rPr>
        <w:t xml:space="preserve">, </w:t>
      </w:r>
      <w:r w:rsidRPr="00453FFF">
        <w:rPr>
          <w:rFonts w:asciiTheme="minorHAnsi" w:hAnsiTheme="minorHAnsi" w:cstheme="minorHAnsi"/>
        </w:rPr>
        <w:t>then a Transaction Screen Analysis is the minimum requirement for submission.</w:t>
      </w:r>
    </w:p>
    <w:p w14:paraId="5F4DB034" w14:textId="77777777" w:rsidR="00E24EB1" w:rsidRPr="00453FFF" w:rsidRDefault="00E24EB1" w:rsidP="00676020">
      <w:pPr>
        <w:pStyle w:val="Default"/>
        <w:ind w:left="720"/>
        <w:rPr>
          <w:rFonts w:asciiTheme="minorHAnsi" w:hAnsiTheme="minorHAnsi" w:cstheme="minorHAnsi"/>
        </w:rPr>
      </w:pPr>
    </w:p>
    <w:p w14:paraId="4EA72657" w14:textId="426DAF1B" w:rsidR="00453FFF" w:rsidRPr="00E24EB1" w:rsidRDefault="00556D12" w:rsidP="00E24EB1">
      <w:pPr>
        <w:pStyle w:val="Default"/>
        <w:numPr>
          <w:ilvl w:val="0"/>
          <w:numId w:val="3"/>
        </w:numPr>
        <w:rPr>
          <w:rFonts w:asciiTheme="minorHAnsi" w:hAnsiTheme="minorHAnsi" w:cstheme="minorHAnsi"/>
          <w:sz w:val="20"/>
          <w:szCs w:val="20"/>
        </w:rPr>
      </w:pPr>
      <w:r>
        <w:rPr>
          <w:rFonts w:asciiTheme="minorHAnsi" w:hAnsiTheme="minorHAnsi" w:cstheme="minorHAnsi"/>
          <w:shd w:val="clear" w:color="auto" w:fill="FFFFFF"/>
        </w:rPr>
        <w:t>As of</w:t>
      </w:r>
      <w:r w:rsidR="00E24EB1">
        <w:rPr>
          <w:rFonts w:asciiTheme="minorHAnsi" w:hAnsiTheme="minorHAnsi" w:cstheme="minorHAnsi"/>
          <w:shd w:val="clear" w:color="auto" w:fill="FFFFFF"/>
        </w:rPr>
        <w:t xml:space="preserve"> April 1, 2021</w:t>
      </w:r>
      <w:r w:rsidRPr="00556D12">
        <w:rPr>
          <w:rFonts w:asciiTheme="minorHAnsi" w:hAnsiTheme="minorHAnsi" w:cstheme="minorHAnsi"/>
          <w:shd w:val="clear" w:color="auto" w:fill="FFFFFF"/>
        </w:rPr>
        <w:t>, the SBA requires the statement (below) in your environmental questionnaire</w:t>
      </w:r>
      <w:r w:rsidR="00E24EB1">
        <w:rPr>
          <w:rFonts w:asciiTheme="minorHAnsi" w:hAnsiTheme="minorHAnsi" w:cstheme="minorHAnsi"/>
          <w:shd w:val="clear" w:color="auto" w:fill="FFFFFF"/>
        </w:rPr>
        <w:t>:</w:t>
      </w:r>
      <w:r w:rsidRPr="00556D12">
        <w:rPr>
          <w:rFonts w:asciiTheme="minorHAnsi" w:hAnsiTheme="minorHAnsi" w:cstheme="minorHAnsi"/>
        </w:rPr>
        <w:br/>
      </w:r>
      <w:r w:rsidRPr="00B1055E">
        <w:rPr>
          <w:rFonts w:asciiTheme="minorHAnsi" w:hAnsiTheme="minorHAnsi" w:cstheme="minorHAnsi"/>
          <w:sz w:val="20"/>
          <w:szCs w:val="20"/>
          <w:highlight w:val="yellow"/>
          <w:shd w:val="clear" w:color="auto" w:fill="FFFFFF"/>
        </w:rPr>
        <w:t>“The undersigned owner(s) and/or operator(s) acknowledge(s) and agree(s) that intentionally falsifying or concealing any material fact with regard to the subject matter of this Environmental Questionnaire may, in addition to other penalties, result in prosecution under applicable law including 18 U.S.C. section 1001.”</w:t>
      </w:r>
    </w:p>
    <w:p w14:paraId="04E36E16" w14:textId="77777777" w:rsidR="00E24EB1" w:rsidRPr="00E24EB1" w:rsidRDefault="00E24EB1" w:rsidP="00E24EB1">
      <w:pPr>
        <w:pStyle w:val="Default"/>
        <w:ind w:left="720"/>
        <w:rPr>
          <w:rFonts w:asciiTheme="minorHAnsi" w:hAnsiTheme="minorHAnsi" w:cstheme="minorHAnsi"/>
          <w:sz w:val="20"/>
          <w:szCs w:val="20"/>
        </w:rPr>
      </w:pPr>
    </w:p>
    <w:p w14:paraId="7D76B842" w14:textId="0BFD3D81" w:rsidR="00453FFF" w:rsidRPr="00453FFF" w:rsidRDefault="00453FFF" w:rsidP="00453FFF">
      <w:pPr>
        <w:pStyle w:val="Default"/>
        <w:numPr>
          <w:ilvl w:val="0"/>
          <w:numId w:val="2"/>
        </w:numPr>
        <w:rPr>
          <w:rFonts w:asciiTheme="minorHAnsi" w:hAnsiTheme="minorHAnsi" w:cstheme="minorHAnsi"/>
        </w:rPr>
      </w:pPr>
      <w:r w:rsidRPr="00453FFF">
        <w:rPr>
          <w:rFonts w:asciiTheme="minorHAnsi" w:hAnsiTheme="minorHAnsi" w:cstheme="minorHAnsi"/>
        </w:rPr>
        <w:t xml:space="preserve">If a property is a daycare center, </w:t>
      </w:r>
      <w:r w:rsidR="003D3333" w:rsidRPr="00453FFF">
        <w:rPr>
          <w:rFonts w:asciiTheme="minorHAnsi" w:hAnsiTheme="minorHAnsi" w:cstheme="minorHAnsi"/>
        </w:rPr>
        <w:t>childcare</w:t>
      </w:r>
      <w:r w:rsidRPr="00453FFF">
        <w:rPr>
          <w:rFonts w:asciiTheme="minorHAnsi" w:hAnsiTheme="minorHAnsi" w:cstheme="minorHAnsi"/>
        </w:rPr>
        <w:t xml:space="preserve"> center, nursery school or a residential care</w:t>
      </w:r>
    </w:p>
    <w:p w14:paraId="4E87C851" w14:textId="3881E0E0" w:rsidR="00453FFF" w:rsidRPr="00453FFF" w:rsidRDefault="00453FFF" w:rsidP="00453FFF">
      <w:pPr>
        <w:pStyle w:val="Default"/>
        <w:ind w:left="720"/>
        <w:rPr>
          <w:rFonts w:asciiTheme="minorHAnsi" w:hAnsiTheme="minorHAnsi" w:cstheme="minorHAnsi"/>
        </w:rPr>
      </w:pPr>
      <w:r w:rsidRPr="00453FFF">
        <w:rPr>
          <w:rFonts w:asciiTheme="minorHAnsi" w:hAnsiTheme="minorHAnsi" w:cstheme="minorHAnsi"/>
        </w:rPr>
        <w:t xml:space="preserve">facility occupied by children, state the construction date of the building. If the date of </w:t>
      </w:r>
    </w:p>
    <w:p w14:paraId="4A1CAD82" w14:textId="699CC4EB" w:rsidR="00453FFF" w:rsidRPr="00453FFF" w:rsidRDefault="00453FFF" w:rsidP="00453FFF">
      <w:pPr>
        <w:pStyle w:val="Default"/>
        <w:ind w:left="720"/>
        <w:rPr>
          <w:rFonts w:asciiTheme="minorHAnsi" w:hAnsiTheme="minorHAnsi" w:cstheme="minorHAnsi"/>
        </w:rPr>
      </w:pPr>
      <w:r w:rsidRPr="00453FFF">
        <w:rPr>
          <w:rFonts w:asciiTheme="minorHAnsi" w:hAnsiTheme="minorHAnsi" w:cstheme="minorHAnsi"/>
        </w:rPr>
        <w:t xml:space="preserve">construction is prior to 1980, a lead risk assessment (for lead based paint) and testing </w:t>
      </w:r>
    </w:p>
    <w:p w14:paraId="49392526" w14:textId="4C935401" w:rsidR="00453FFF" w:rsidRDefault="00453FFF" w:rsidP="00453FFF">
      <w:pPr>
        <w:pStyle w:val="Default"/>
        <w:ind w:left="720"/>
        <w:rPr>
          <w:rFonts w:asciiTheme="minorHAnsi" w:hAnsiTheme="minorHAnsi" w:cstheme="minorHAnsi"/>
        </w:rPr>
      </w:pPr>
      <w:r w:rsidRPr="00453FFF">
        <w:rPr>
          <w:rFonts w:asciiTheme="minorHAnsi" w:hAnsiTheme="minorHAnsi" w:cstheme="minorHAnsi"/>
        </w:rPr>
        <w:t>for lead in drinking water is required.</w:t>
      </w:r>
    </w:p>
    <w:p w14:paraId="4B0A973C" w14:textId="77777777" w:rsidR="00F644BF" w:rsidRDefault="00F644BF" w:rsidP="00453FFF">
      <w:pPr>
        <w:pStyle w:val="Default"/>
        <w:ind w:left="720"/>
        <w:rPr>
          <w:rFonts w:asciiTheme="minorHAnsi" w:hAnsiTheme="minorHAnsi" w:cstheme="minorHAnsi"/>
        </w:rPr>
      </w:pPr>
    </w:p>
    <w:p w14:paraId="08FF2915" w14:textId="43753348" w:rsidR="00FF45C6" w:rsidRPr="006E0597" w:rsidRDefault="00FF45C6">
      <w:pPr>
        <w:rPr>
          <w:sz w:val="24"/>
          <w:szCs w:val="24"/>
        </w:rPr>
      </w:pPr>
      <w:r w:rsidRPr="006E0597">
        <w:rPr>
          <w:sz w:val="24"/>
          <w:szCs w:val="24"/>
        </w:rPr>
        <w:t>The last tip, concerning childcare centers</w:t>
      </w:r>
      <w:r w:rsidR="006E0597">
        <w:rPr>
          <w:sz w:val="24"/>
          <w:szCs w:val="24"/>
        </w:rPr>
        <w:t xml:space="preserve"> </w:t>
      </w:r>
      <w:r w:rsidRPr="006E0597">
        <w:rPr>
          <w:sz w:val="24"/>
          <w:szCs w:val="24"/>
        </w:rPr>
        <w:t xml:space="preserve">has not </w:t>
      </w:r>
      <w:r w:rsidR="00300939" w:rsidRPr="006E0597">
        <w:rPr>
          <w:sz w:val="24"/>
          <w:szCs w:val="24"/>
        </w:rPr>
        <w:t xml:space="preserve">fallen on many radars </w:t>
      </w:r>
      <w:r w:rsidRPr="006E0597">
        <w:rPr>
          <w:sz w:val="24"/>
          <w:szCs w:val="24"/>
        </w:rPr>
        <w:t>as daycare center activity has slowed with the pandemic. Be mindful as things return to normal.</w:t>
      </w:r>
    </w:p>
    <w:p w14:paraId="1A5B1953" w14:textId="23204B0E" w:rsidR="00453FFF" w:rsidRPr="006E0597" w:rsidRDefault="00FF45C6">
      <w:pPr>
        <w:rPr>
          <w:sz w:val="24"/>
          <w:szCs w:val="24"/>
        </w:rPr>
      </w:pPr>
      <w:r w:rsidRPr="006E0597">
        <w:rPr>
          <w:sz w:val="24"/>
          <w:szCs w:val="24"/>
        </w:rPr>
        <w:t>Also, be sure</w:t>
      </w:r>
      <w:r w:rsidR="008278C1" w:rsidRPr="006E0597">
        <w:rPr>
          <w:sz w:val="24"/>
          <w:szCs w:val="24"/>
        </w:rPr>
        <w:t xml:space="preserve"> you</w:t>
      </w:r>
      <w:r w:rsidR="00300939" w:rsidRPr="006E0597">
        <w:rPr>
          <w:sz w:val="24"/>
          <w:szCs w:val="24"/>
        </w:rPr>
        <w:t>’re</w:t>
      </w:r>
      <w:r w:rsidR="008278C1" w:rsidRPr="006E0597">
        <w:rPr>
          <w:sz w:val="24"/>
          <w:szCs w:val="24"/>
        </w:rPr>
        <w:t xml:space="preserve"> using the latest Environmental Questionnaire</w:t>
      </w:r>
      <w:r w:rsidRPr="006E0597">
        <w:rPr>
          <w:sz w:val="24"/>
          <w:szCs w:val="24"/>
        </w:rPr>
        <w:t>.</w:t>
      </w:r>
      <w:r w:rsidR="008278C1" w:rsidRPr="006E0597">
        <w:rPr>
          <w:sz w:val="24"/>
          <w:szCs w:val="24"/>
        </w:rPr>
        <w:t xml:space="preserve"> You can download the latest here on the CREtelligent SBA Resource page. </w:t>
      </w:r>
    </w:p>
    <w:p w14:paraId="044AFFE3" w14:textId="4C4769A0" w:rsidR="008278C1" w:rsidRPr="006E0597" w:rsidRDefault="008278C1">
      <w:pPr>
        <w:rPr>
          <w:sz w:val="24"/>
          <w:szCs w:val="24"/>
        </w:rPr>
      </w:pPr>
    </w:p>
    <w:p w14:paraId="6AAC07DF" w14:textId="71806E2C" w:rsidR="008278C1" w:rsidRPr="006E0597" w:rsidRDefault="008278C1">
      <w:pPr>
        <w:rPr>
          <w:sz w:val="24"/>
          <w:szCs w:val="24"/>
        </w:rPr>
      </w:pPr>
      <w:r w:rsidRPr="006E0597">
        <w:rPr>
          <w:sz w:val="24"/>
          <w:szCs w:val="24"/>
        </w:rPr>
        <w:t>We hope these tips prove useful. Check back often as we’ll continue to share more tips, update</w:t>
      </w:r>
      <w:r w:rsidR="006E0597">
        <w:rPr>
          <w:sz w:val="24"/>
          <w:szCs w:val="24"/>
        </w:rPr>
        <w:t>s</w:t>
      </w:r>
      <w:r w:rsidR="009074EA">
        <w:rPr>
          <w:sz w:val="24"/>
          <w:szCs w:val="24"/>
        </w:rPr>
        <w:t>,</w:t>
      </w:r>
      <w:r w:rsidRPr="006E0597">
        <w:rPr>
          <w:sz w:val="24"/>
          <w:szCs w:val="24"/>
        </w:rPr>
        <w:t xml:space="preserve"> news</w:t>
      </w:r>
      <w:r w:rsidR="005D3780">
        <w:rPr>
          <w:sz w:val="24"/>
          <w:szCs w:val="24"/>
        </w:rPr>
        <w:t xml:space="preserve">, and </w:t>
      </w:r>
      <w:r w:rsidRPr="006E0597">
        <w:rPr>
          <w:sz w:val="24"/>
          <w:szCs w:val="24"/>
        </w:rPr>
        <w:t>all thing</w:t>
      </w:r>
      <w:r w:rsidR="006E0597">
        <w:rPr>
          <w:sz w:val="24"/>
          <w:szCs w:val="24"/>
        </w:rPr>
        <w:t>s</w:t>
      </w:r>
      <w:r w:rsidRPr="006E0597">
        <w:rPr>
          <w:sz w:val="24"/>
          <w:szCs w:val="24"/>
        </w:rPr>
        <w:t xml:space="preserve"> SBA!</w:t>
      </w:r>
    </w:p>
    <w:p w14:paraId="07752C16" w14:textId="3528F0D4" w:rsidR="00300939" w:rsidRDefault="00300939"/>
    <w:p w14:paraId="7EABCEA0" w14:textId="2022D99F" w:rsidR="00300939" w:rsidRDefault="00300939"/>
    <w:p w14:paraId="74036839" w14:textId="41C24D24" w:rsidR="00300939" w:rsidRDefault="00300939"/>
    <w:p w14:paraId="50915537" w14:textId="7122B8D4" w:rsidR="008278C1" w:rsidRDefault="008278C1" w:rsidP="008278C1"/>
    <w:sectPr w:rsidR="0082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F62"/>
    <w:multiLevelType w:val="hybridMultilevel"/>
    <w:tmpl w:val="A6D4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06A68"/>
    <w:multiLevelType w:val="hybridMultilevel"/>
    <w:tmpl w:val="DF2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C4805"/>
    <w:multiLevelType w:val="hybridMultilevel"/>
    <w:tmpl w:val="584E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FF"/>
    <w:rsid w:val="000C6BF6"/>
    <w:rsid w:val="00300939"/>
    <w:rsid w:val="003D3333"/>
    <w:rsid w:val="00453FFF"/>
    <w:rsid w:val="00556D12"/>
    <w:rsid w:val="005C4A2E"/>
    <w:rsid w:val="005D3780"/>
    <w:rsid w:val="00676020"/>
    <w:rsid w:val="006E0597"/>
    <w:rsid w:val="007C219B"/>
    <w:rsid w:val="008278C1"/>
    <w:rsid w:val="009074EA"/>
    <w:rsid w:val="00AA74BD"/>
    <w:rsid w:val="00AE2E5B"/>
    <w:rsid w:val="00B1055E"/>
    <w:rsid w:val="00B928D1"/>
    <w:rsid w:val="00E24EB1"/>
    <w:rsid w:val="00F644BF"/>
    <w:rsid w:val="00F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79DD"/>
  <w15:chartTrackingRefBased/>
  <w15:docId w15:val="{63034B90-D74B-420A-9118-68DDB8E1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F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FF"/>
    <w:pPr>
      <w:ind w:left="720"/>
      <w:contextualSpacing/>
    </w:pPr>
  </w:style>
  <w:style w:type="paragraph" w:customStyle="1" w:styleId="Default">
    <w:name w:val="Default"/>
    <w:rsid w:val="00453FF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Reynolds</dc:creator>
  <cp:keywords/>
  <dc:description/>
  <cp:lastModifiedBy>Gary Kulik</cp:lastModifiedBy>
  <cp:revision>2</cp:revision>
  <dcterms:created xsi:type="dcterms:W3CDTF">2021-09-16T20:49:00Z</dcterms:created>
  <dcterms:modified xsi:type="dcterms:W3CDTF">2021-09-16T20:49:00Z</dcterms:modified>
</cp:coreProperties>
</file>